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12 158 vom 3. September 2012</w:t>
      </w:r>
    </w:p>
    <w:p>
      <w:r>
        <w:t>VS Kantonsgericht, 2012-09-03, DE</w:t>
      </w:r>
    </w:p>
    <w:p>
      <w:r>
        <w:rPr>
          <w:b/>
        </w:rPr>
        <w:t xml:space="preserve">Quelle: </w:t>
      </w:r>
      <w:r>
        <w:t>https://mcp.opencaselaw.ch/entscheid/vs_gerichte_C1 12 158</w:t>
      </w:r>
    </w:p>
    <w:p>
      <w:r>
        <w:t>FR: VS_GERICHTE C1 12 158 du 3 septembre 2012</w:t>
      </w:r>
    </w:p>
    <w:p>
      <w:r>
        <w:t>IT: VS_GERICHTE C1 12 158 del 3 settembre 2012</w:t>
      </w:r>
    </w:p>
    <w:p>
      <w:pPr>
        <w:pStyle w:val="Heading2"/>
      </w:pPr>
      <w:r>
        <w:t>Regeste</w:t>
      </w:r>
    </w:p>
    <w:p>
      <w:r>
        <w:t>JUGCIV C1 12 158 URTEIL VOM 3. SEPTEMBER 2012 Kantonsgericht I. Zivilrechtliche Abteilung Es wirken mit: Kantonsrichter Hermann Murmann, Gerichtsschreiber Dr. Adrian Walpen In Sachen X__________, Berufungskläger, vertreten durch Rechtsanwalt A__________ gegen Y__________, Berufungsbeklagter und Z__________, Berufungsbeklagte, beide vertreten durch Rechtsanwalt B__________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Berufung wird nicht eingetreten.</w:t>
      </w:r>
    </w:p>
    <w:p>
      <w:r>
        <w:rPr>
          <w:b/>
        </w:rPr>
        <w:t>E. 2</w:t>
      </w:r>
    </w:p>
    <w:p>
      <w:r>
        <w:t>Die Kosten dieses Entscheides von CHF 200.-- werden dem Berufungskläger auferlegt und mit dem geleisteten Kostenvorschuss verrechnet. Das Kantonsgericht erstattet dem Berufungskläger CHF 400.-- zurück.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t>Sitten, 3. September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